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7CA" w:rsidRPr="00EB67CA" w:rsidRDefault="00EB67CA" w:rsidP="00EB67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EB67CA">
        <w:rPr>
          <w:rFonts w:ascii="Times New Roman" w:eastAsia="Calibri" w:hAnsi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/>
          <w:sz w:val="24"/>
          <w:szCs w:val="24"/>
        </w:rPr>
        <w:t>4</w:t>
      </w:r>
      <w:bookmarkStart w:id="0" w:name="_GoBack"/>
      <w:bookmarkEnd w:id="0"/>
      <w:r w:rsidRPr="00EB67CA">
        <w:rPr>
          <w:rFonts w:ascii="Times New Roman" w:eastAsia="Calibri" w:hAnsi="Times New Roman"/>
          <w:sz w:val="24"/>
          <w:szCs w:val="24"/>
        </w:rPr>
        <w:t xml:space="preserve"> к постановлению </w:t>
      </w:r>
    </w:p>
    <w:p w:rsidR="00EB67CA" w:rsidRPr="00EB67CA" w:rsidRDefault="00EB67CA" w:rsidP="00EB67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EB67CA">
        <w:rPr>
          <w:rFonts w:ascii="Times New Roman" w:eastAsia="Calibri" w:hAnsi="Times New Roman"/>
          <w:sz w:val="24"/>
          <w:szCs w:val="24"/>
        </w:rPr>
        <w:t xml:space="preserve">Администрации Муромцевского муниципального </w:t>
      </w:r>
    </w:p>
    <w:p w:rsidR="00EB67CA" w:rsidRPr="00EB67CA" w:rsidRDefault="00EB67CA" w:rsidP="00EB67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EB67CA">
        <w:rPr>
          <w:rFonts w:ascii="Times New Roman" w:eastAsia="Calibri" w:hAnsi="Times New Roman"/>
          <w:sz w:val="24"/>
          <w:szCs w:val="24"/>
        </w:rPr>
        <w:t xml:space="preserve">района Омской области </w:t>
      </w:r>
    </w:p>
    <w:p w:rsidR="00EB67CA" w:rsidRPr="00EB67CA" w:rsidRDefault="00EB67CA" w:rsidP="00EB67C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</w:rPr>
      </w:pPr>
      <w:r w:rsidRPr="00EB67CA">
        <w:rPr>
          <w:rFonts w:ascii="Times New Roman" w:eastAsia="Calibri" w:hAnsi="Times New Roman"/>
          <w:sz w:val="24"/>
          <w:szCs w:val="24"/>
        </w:rPr>
        <w:t>от 06.11.2025 № 293-п</w:t>
      </w:r>
    </w:p>
    <w:p w:rsidR="00EB67CA" w:rsidRDefault="00EB67CA" w:rsidP="00BE6C92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Приложение № 5</w:t>
      </w:r>
    </w:p>
    <w:p w:rsidR="00BE6C92" w:rsidRDefault="00BE6C92" w:rsidP="00BE6C92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к муниципальной программе Муромцевского </w:t>
      </w:r>
    </w:p>
    <w:p w:rsidR="00BE6C92" w:rsidRDefault="00BE6C92" w:rsidP="00BE6C92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муниципального района Омской области</w:t>
      </w:r>
    </w:p>
    <w:p w:rsidR="00BE6C92" w:rsidRDefault="00BE6C92" w:rsidP="00BE6C92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«Развитие экономического потенциала Муромцевского </w:t>
      </w:r>
    </w:p>
    <w:p w:rsidR="00BE6C92" w:rsidRDefault="00BE6C92" w:rsidP="00BE6C92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муниципального района  Омской области»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Подпрограмма  </w:t>
      </w:r>
      <w:r>
        <w:rPr>
          <w:rFonts w:ascii="Times New Roman" w:hAnsi="Times New Roman"/>
          <w:bCs/>
          <w:sz w:val="24"/>
          <w:szCs w:val="24"/>
        </w:rPr>
        <w:t xml:space="preserve">«Развитие сельского хозяйства и регулирование рынков </w:t>
      </w:r>
    </w:p>
    <w:p w:rsidR="00BE6C92" w:rsidRDefault="00BE6C92" w:rsidP="00BE6C92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сельскохозяйственной продукции, сырья и продовольствия Муромцевского района Омской области»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BE6C92" w:rsidRDefault="00BE6C92" w:rsidP="00BE6C9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BE6C92" w:rsidTr="00BE6C92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C92" w:rsidRDefault="00BE6C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Развитие экономического потенциала Муромцевского муниципального района  Омской области»</w:t>
            </w:r>
          </w:p>
        </w:tc>
      </w:tr>
      <w:tr w:rsidR="00BE6C92" w:rsidTr="00BE6C92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Муромцевского муниципального района (далее – подпрограмма)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C92" w:rsidRDefault="00BE6C9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сельского хозяйства и регулирование рынков </w:t>
            </w:r>
          </w:p>
          <w:p w:rsidR="00BE6C92" w:rsidRDefault="00BE6C9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сельскохозяйственной продукции, сырья и продовольствия Муромцевского района Омской области»</w:t>
            </w:r>
          </w:p>
          <w:p w:rsidR="00BE6C92" w:rsidRDefault="00BE6C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C92" w:rsidTr="00BE6C92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сельского хозяйства  Администрации Муромцевского муниципального района (далее – Управление)</w:t>
            </w:r>
          </w:p>
        </w:tc>
      </w:tr>
      <w:tr w:rsidR="00BE6C92" w:rsidTr="00BE6C92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Управление, Главное управление ветеринарии Омской области по Муромцевскому району (далее – Главное управление ветеринарии)</w:t>
            </w:r>
          </w:p>
        </w:tc>
      </w:tr>
      <w:tr w:rsidR="00BE6C92" w:rsidTr="00BE6C92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Омской области, являющегося исполнителем мероприятия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Управление, Главное управление ветеринарии</w:t>
            </w:r>
          </w:p>
        </w:tc>
      </w:tr>
      <w:tr w:rsidR="00BE6C92" w:rsidTr="00BE6C92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Сроки реализации подпрограммы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2022-2030</w:t>
            </w:r>
          </w:p>
        </w:tc>
      </w:tr>
      <w:tr w:rsidR="00BE6C92" w:rsidTr="00BE6C92">
        <w:trPr>
          <w:trHeight w:val="401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Устойчивое развитие сельского хозяйства Муромцевского района Омской области</w:t>
            </w:r>
          </w:p>
        </w:tc>
      </w:tr>
      <w:tr w:rsidR="00BE6C92" w:rsidTr="00BE6C92">
        <w:trPr>
          <w:trHeight w:val="328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Улучшение финансового состояния малых форм хозяйствования за счет роста объемов производства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Обеспечение высококвалифицированными кадрами АПК и создание условий для привлекательности работы на селе.</w:t>
            </w:r>
          </w:p>
          <w:p w:rsidR="00BE6C92" w:rsidRDefault="00BE6C92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Обеспечение эффективной деятельности Управления как ответственного исполнителя государственной программы. </w:t>
            </w:r>
          </w:p>
        </w:tc>
      </w:tr>
      <w:tr w:rsidR="00BE6C92" w:rsidTr="00BE6C92">
        <w:trPr>
          <w:trHeight w:val="647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«Развитие малых форм хозяйствования».</w:t>
            </w:r>
          </w:p>
          <w:p w:rsidR="00BE6C92" w:rsidRDefault="00BE6C92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«Развитие кадрового потенциала агропромышленного комплекса».</w:t>
            </w:r>
          </w:p>
          <w:p w:rsidR="00BE6C92" w:rsidRDefault="00BE6C92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«Повышение эффективности осуществления политики управления Муромцевского муниципального района в сфере развития агропромышленного комплекса».</w:t>
            </w:r>
          </w:p>
        </w:tc>
      </w:tr>
      <w:tr w:rsidR="00BE6C92" w:rsidTr="00BE6C92">
        <w:trPr>
          <w:trHeight w:val="701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за счет всех источников финансирования  составляет  56 450 143,97 рубля, в том числе: 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5 688 882,65 рубля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5 625 343,01 рубля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6 740 761,30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7 128 568,54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8 134 756,35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7 074 408,76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7 001 986,76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4 527 718,30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4 527 718,30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Общие расходы муниципального бюджета на реализацию подпрограммы составят 46 949 749,66 рублей, в том числе по годам: 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4 848 843,67 рубля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4 914 424,90 рубля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5 841 855,47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6 256 230,00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6 229 635,52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5 283 473,52 рубля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5 283 473,52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4 145 906,53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4 145 906,53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Прогнозируемый объем финансирования из областного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бюджета – 9 500 394,31 рубля, в том числе по годам: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840 038,98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710 918,11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898 905,83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872 338,54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1 905 120,83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1 790 935,24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1 718 513,24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381 811,77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381 811,77 рублей</w:t>
            </w:r>
          </w:p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      </w:r>
          </w:p>
        </w:tc>
      </w:tr>
      <w:tr w:rsidR="00BE6C92" w:rsidTr="00BE6C92">
        <w:trPr>
          <w:trHeight w:val="697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Индекс производства продукции сельского хозяйства в хозяйствах всех категорий (в сопоставимых ценах) к предыдущему году составит по годам: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100,5 %;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100,6 %;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100,7 %;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100,7 %;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100,7 %;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100,8 %;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100,8 %,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100,9 %,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100,9 %.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Индекс физического объема инвестиций в основной капитал сельского хозяйства (к предыдущему году):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101,0 %;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101,1 %;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101,2 %;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101,3 %;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101,4 %;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101,5 %;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101,6 %;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101,7 %,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101,8 %.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Рентабельность сельскохозяйственных организаций (далее – СХО) (с учетом субсидий) составит: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9,1 %;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9,2 %;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9,2 %;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9,2 %;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9,3 %;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9,3%;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9,3 %;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9,4 %;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9,4 %.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Среднемесячная номинальная заработная плата работников, занятых в сфере сельского хозяйства, в том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числе по годам: 2022 год – 15384,0 рубля;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15384,0 рубля;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15480,0 рублей;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15580,0 рублей;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15680,0 рублей;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15780,0 рублей;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15880,0 рублей;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15980,0 рублей;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16000,0 рублей.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Количество созданных новых рабочих мест на селе 44 места, в том числе: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4 мест;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4 мест;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5 мест;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5 мест;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5 мест;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6 мест;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6 мест;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6 мест;</w:t>
            </w:r>
          </w:p>
          <w:p w:rsidR="00BE6C92" w:rsidRDefault="00BE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6 мест.</w:t>
            </w:r>
          </w:p>
        </w:tc>
      </w:tr>
    </w:tbl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№ 2.  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Подпрограмма базируется на положениях Федерального </w:t>
      </w:r>
      <w:hyperlink r:id="rId5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от 29.12.2006 № 264 «О развитии сельского хозяйства», Государственной </w:t>
      </w:r>
      <w:hyperlink r:id="rId6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Times New Roman" w:hAnsi="Times New Roman"/>
          <w:sz w:val="24"/>
          <w:szCs w:val="24"/>
        </w:rPr>
        <w:t xml:space="preserve"> развития сельского хозяйства и регулирования рынков сельскохозяйственной продукции, сырья и утвержденной постановлением Правительства Российской Федерации от 14 июля 2012 года № 717, а также Государственной </w:t>
      </w:r>
      <w:hyperlink r:id="rId7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Times New Roman" w:hAnsi="Times New Roman"/>
          <w:sz w:val="24"/>
          <w:szCs w:val="24"/>
        </w:rPr>
        <w:t xml:space="preserve"> Омской области «Развитие сельского хозяйства и регулирование рынков сельскохозяйственной продукции, сырья и продовольствия Омской области от 15 октября 2013 года № 252-п.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отраслью экономики Муромцевского района является сельское хозяйство, где осуществляют деятельность 8 сельскохозяйственных организаций, 52 крестьянских (фермерских) хозяйства и более 7,8 тысяч личных подсобных хозяйств.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2020 год в Муромцевском районе производство зерна в весе после доработки составило 67,1 тыс.тонн, урожайность 18,0 ц/га.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Валовой надой молока  в хозяйствах всех форм собственности за 2020 год составил 8638 тонн, производство мяса в живом весе – 1704 тонны.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Муромцевском муниципальном районе ведется работа по привлечению инвестиций  в развитие сельского хозяйства района, в том числе в виде грантов на развитие семейных ферм,  грантов «Агростартап» крестьянским (фермерским) хозяйствам.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2022-2023 годах планируется осуществить инвестиционные проекты: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строительство животноводческого комплекса молочного направления на 500 голов в ООО «Колхоз Чопозова» на сумму 320 млн.руб. мощностью 22 тыс.тонн молока в год. Реализация проекта позволит увеличить продуктивность скота, повысить качество продукции, а также создать не менее 10 новых рабочих мест;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реконструкция зерносушильного комплекса в ООО «Шадринское» мощностью 300 тонн зерна в сутки на сумму 11 млн.руб. Ввод в действие современного оборудования зерносушилки и ремонт токового хозяйства позволит максимально сократить потери при сушке и подработке зерна, увеличить объем валовой продукции и привлечь 2 новых рабочих места.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Вместе с тем в сельскохозяйственном производстве Муромцевского района существует ряд проблем, к наиболее значимым следует отнести: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недостаточный уровень применения сельскохозяйственными товаропроизводителями (учитывая их финансовые возможности) минеральных удобрений и химических средств защиты растений;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невысокий уровень технического и технологического оснащения сельскохозяйственных товаропроизводителей (вследствие диспаритета цен на сельскохозяйственную продукцию, технику и энергоносители);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ограниченный доступ сельскохозяйственных товаропроизводителей к рынку в условиях несовершенства его инфраструктуры, слабого развития кооперации в сфере производства и реализации сельскохозяйственной продукции, возрастающей монополизации торговых сетей;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недостаточное ресурсное обеспечение села на всех уровнях финансирования;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дефицит квалифицированных кадров, в том числе молодых кадров, вызванный низким уровнем заработной платы и качества жизни в сельской местности.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Комплексный подход к решению проблем АПК предполагает использование программно-целевого метода, обеспечивающего эффективную организацию процесса управления, контроля и надзора, взаимосвязь между проводимыми мероприятиями и результатами их выполнения, четкое распределение реализуемых мероприятий по исполнителям и срокам, более эффективное использование финансовых ресурсов для решения обозначенных задач.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основным рискам, связанным с решением проблем программно-целевым методом, относятся: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изменение федерального и областного законодательства;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ухудшение экономической ситуации;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недостаточное ресурсное обеспечение запланированных мероприятий Подпрограммы;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изменение стоимости сырья и материалов, необходимых для осуществления мероприятий Подпрограммы;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инфляция.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Эффективное развитие сельского хозяйства в районе должно стать не только общеэкономической предпосылкой успешного решения большинства накопленных в отрасли производственных, финансовых, социальных проблем, но и способом системного согласования установок на увеличение валового внутреннего продукта, сокращение бедности и повышение продовольственной безопасности, то есть должно обеспечить комплексную реализацию целей социально-экономического развития района в рассматриваемой перспективе.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№ 3. Цель и задачи подпрограммы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Целью подпрограммы является устойчивое развитие сельского хозяйства </w:t>
      </w:r>
      <w:r>
        <w:rPr>
          <w:rFonts w:ascii="Times New Roman" w:hAnsi="Times New Roman"/>
          <w:sz w:val="24"/>
          <w:szCs w:val="24"/>
        </w:rPr>
        <w:lastRenderedPageBreak/>
        <w:t>Муромцевского района Омской области.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ее достижения необходимо решение следующих задач:</w:t>
      </w:r>
    </w:p>
    <w:p w:rsidR="00BE6C92" w:rsidRDefault="00BE6C92" w:rsidP="00BE6C92">
      <w:pPr>
        <w:widowControl w:val="0"/>
        <w:tabs>
          <w:tab w:val="left" w:pos="351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улучшение финансового состояния малых форм хозяйствования за счет роста объемов производства и реализации сельскохозяйственной продукции;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обеспечение высококвалифицированными кадрами АПК и создание условий для привлекательности работы на селе;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обеспечение эффективной деятельности Управления как ответственного исполнителя государственной программы;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Достижение целей и выполнение задач подпрограммы будут способствовать решению социально-экономических задач, соответствующих приоритетам государственной аграрной политики, Государственной </w:t>
      </w:r>
      <w:hyperlink r:id="rId8" w:history="1">
        <w:r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>программ</w:t>
        </w:r>
      </w:hyperlink>
      <w:r>
        <w:rPr>
          <w:rFonts w:ascii="Times New Roman" w:hAnsi="Times New Roman"/>
          <w:bCs/>
          <w:sz w:val="24"/>
          <w:szCs w:val="24"/>
        </w:rPr>
        <w:t>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года № 717, и приоритетам социально-экономической политики, определенным Стратегией социально-экономического развития Муромцевского муниципального района Омской области до 2030 года, утвержденной Решением Совета Муромцевского муниципального района Омской области от 13 декабря 2018 года № 67.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№ 4. Срок реализации подпрограммы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планируется в период с 2022 по 2030 годы.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№ 5. Описание входящих в состав подпрограмм основных мероприятий </w:t>
      </w:r>
    </w:p>
    <w:p w:rsidR="00BE6C92" w:rsidRDefault="00BE6C92" w:rsidP="00BE6C92">
      <w:pPr>
        <w:tabs>
          <w:tab w:val="left" w:pos="35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Подпрограммой предусмотрено </w:t>
      </w:r>
      <w:r>
        <w:rPr>
          <w:rFonts w:ascii="Times New Roman" w:hAnsi="Times New Roman"/>
          <w:sz w:val="24"/>
          <w:szCs w:val="24"/>
        </w:rPr>
        <w:t>следующие основные мероприятия: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Основное мероприятие 1 «Развитие малых форм хозяйствования» направлено на: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субсидии на возмещение части затрат по производству молока гражданам, ведущим ЛПХ;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мероприятие 2 «Развитие кадрового потенциала агропромышленного комплекса» предусматривает: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смотров, конкурсов, соревнований по направлениям сельскохозяйственного производства, а также награждений по результатам трудовой деятельности в АПК;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выставочно-ярмарочных мероприятий;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субсидии на возмещение части затрат на переподготовку и повышение квалификации организациям, индивидуальным предпринимателям, осуществляющим переработку и (или) производство сельскохозяйственной продукции, на переподготовку и повышение квалификации руководителей, специалистов и рабочих массовых профессий;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субсидии на возмещение части затрат на повышение квалификации руководителей, специалистов и рабочих массовых профессий организаций, индивидуальных предпринимателей, осуществляющих переработку и (или) производство сельскохозяйственной продукции, а также на профессиональное обучение по программам подготовки и (или) переподготовки по профессии "Тракторист-машинист сельскохозяйственного производства".</w:t>
      </w:r>
    </w:p>
    <w:p w:rsidR="00BE6C92" w:rsidRDefault="00BE6C92" w:rsidP="00BE6C92">
      <w:pPr>
        <w:tabs>
          <w:tab w:val="left" w:pos="3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Основное мероприятие 3 «Повышение эффективности осуществления политики управления Муромцевского муниципального района в сфере развития </w:t>
      </w:r>
      <w:r>
        <w:rPr>
          <w:rFonts w:ascii="Times New Roman" w:hAnsi="Times New Roman"/>
          <w:sz w:val="24"/>
          <w:szCs w:val="24"/>
        </w:rPr>
        <w:lastRenderedPageBreak/>
        <w:t>агропромышленного комплекса» направлено на обеспечение эффективной деятельности Управления как ответственного исполнителя подпрограммы и предусматривает реализацию мероприятий: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 эффективности деятельности Управления сельского хозяйства Муромцевского муниципального района как ответственного  исполнителя государственной политики в сфере развития агропромышленного комплекса;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эпизоотического  и  ветеринарно-санитарного благополучия Муромцевского района;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животными, которые не имеют владельцев, а также с животными, владельцы которых неизвестны, на территории города Омска и территориях муниципальных районов Омской области.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работ по выполнению мероприятий по уничтожению очагов дикорастущих наркосодержащих растений.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№ 6. Описание мероприятий и целевых индикаторов их выполнения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оценки выполнения мероприятий </w:t>
      </w:r>
      <w:r>
        <w:rPr>
          <w:rFonts w:ascii="Times New Roman" w:hAnsi="Times New Roman"/>
          <w:bCs/>
          <w:sz w:val="24"/>
          <w:szCs w:val="24"/>
          <w:u w:val="single"/>
        </w:rPr>
        <w:t>основного мероприятия  1</w:t>
      </w:r>
      <w:r>
        <w:rPr>
          <w:rFonts w:ascii="Times New Roman" w:hAnsi="Times New Roman"/>
          <w:bCs/>
          <w:sz w:val="24"/>
          <w:szCs w:val="24"/>
        </w:rPr>
        <w:t xml:space="preserve"> «Развитие малых форм хозяйствования» при установленных объемах финансирования применяются следующие целевые индикаторы: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Мероприятие 1: субсидии на возмещение части затрат по производству молока гражданам, ведущим ЛПХ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количество ЛПХ, получивших финансовую поддержку на развитие ЛПХ (единица измерения – единиц);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мониторинга Управления;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оценки выполнения </w:t>
      </w:r>
      <w:r>
        <w:rPr>
          <w:rFonts w:ascii="Times New Roman" w:hAnsi="Times New Roman"/>
          <w:sz w:val="24"/>
          <w:szCs w:val="24"/>
          <w:u w:val="single"/>
        </w:rPr>
        <w:t>основного мероприятия 2</w:t>
      </w:r>
      <w:r>
        <w:rPr>
          <w:rFonts w:ascii="Times New Roman" w:hAnsi="Times New Roman"/>
          <w:sz w:val="24"/>
          <w:szCs w:val="24"/>
        </w:rPr>
        <w:t xml:space="preserve"> «Развитие кадрового потенциала агропромышленного комплекса» при установленных объемах финансирования применяются следующие целевые индикаторы: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Мероприятие 1: проведение смотров, конкурсов, соревнований по направлениям сельскохозяйственного производства, а также награждений по результатам трудовой деятельности в АПК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количество проведенных смотров, конкурсов, соревнований по направлениям сельскохозяйственного производства (единица измерения – единиц). 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мониторинга Управления;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Мероприятие 2: проведение выставочно-ярмарочных мероприятий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количество проведенных выставочно-ярмарочных мероприятий(единица измерения – единиц).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мониторинга Управления.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Мероприятие 3: субсидии на возмещение части затрат на переподготовку и повышение квалификации организациям, индивидуальным предпринимателям, осуществляющим переработку и (или) производство сельскохозяйственной продукции, на переподготовку и повышение квалификации руководителей, специалистов и рабочих массовых профессий: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3) количество руководителей, специалистов и рабочих массовых профессий организаций, индивидуальных предпринимателей, осуществляющих переработку и (или) производство сельскохозяйственной продукции, прошедших переподготовку и повышение квалификации.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Мероприятие 4: субсидии на возмещение части затрат на повышение квалификации руководителей, специалистов и рабочих массовых профессий организаций, индивидуальных предпринимателей, осуществляющих переработку и (или) производство сельскохозяйственной продукции, а также на профессиональное обучение по программам подготовки и (или) переподготовки по профессии "Тракторист-машинист сельскохозяйственного производства".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количество руководителей, специалистов и рабочих массовых профессий организаций, индивидуальных предпринимателей, осуществляющих переработку и (или) производство сельскохозяйственной продукции, прошедших переподготовку и повышение квалификации.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мониторинга Управления.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оценки эффективности </w:t>
      </w:r>
      <w:r>
        <w:rPr>
          <w:rFonts w:ascii="Times New Roman" w:hAnsi="Times New Roman"/>
          <w:sz w:val="24"/>
          <w:szCs w:val="24"/>
          <w:u w:val="single"/>
        </w:rPr>
        <w:t>основного мероприятия 3</w:t>
      </w:r>
      <w:r>
        <w:rPr>
          <w:rFonts w:ascii="Times New Roman" w:hAnsi="Times New Roman"/>
          <w:sz w:val="24"/>
          <w:szCs w:val="24"/>
        </w:rPr>
        <w:t xml:space="preserve"> «Повышение эффективности осуществления политики управления Муромцевского муниципального района в сфере развития агропромышленного комплекса» определены следующие целевые индикаторы: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Мероприятие 1: руководство и управление в сфере установленных функций органов местного самоуправления: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" w:name="sub_1301"/>
      <w:r>
        <w:rPr>
          <w:rFonts w:ascii="Times New Roman" w:hAnsi="Times New Roman"/>
          <w:sz w:val="24"/>
          <w:szCs w:val="24"/>
        </w:rPr>
        <w:t>1) коэффициент обеспечения уровня софинансирования по мероприятиям государственной поддержки СХТП, софинансируемым из областного бюджета.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мониторинга Управления;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" w:name="sub_1308"/>
      <w:bookmarkEnd w:id="1"/>
      <w:r>
        <w:rPr>
          <w:rFonts w:ascii="Times New Roman" w:hAnsi="Times New Roman"/>
          <w:sz w:val="24"/>
          <w:szCs w:val="24"/>
        </w:rPr>
        <w:t>Мероприятие 2: обеспечение эпизоотического  и  ветеринарно-санитарного благополучия Муромцевского района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степень выполнения планов противоэпизоотических и ветеринарно-санитарных мероприятий, комплексных планов.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мониторинга Управления;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Мероприятие 3: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животными, которые не имеют владельцев, а также с животными, владельцы которых неизвестны, на территории города Омска и территориях муниципальных районов Омской области 3) количество отловленных животных без владельцев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Количество отловленных животных без владельцев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мониторинга Управления.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Мероприятие 4. Организация работ по выполнению мероприятий по уничтожению очагов дикорастущих наркосодержащих растений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мониторинга Управления.</w:t>
      </w:r>
    </w:p>
    <w:p w:rsidR="00BE6C92" w:rsidRDefault="00BE6C92" w:rsidP="00BE6C9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Поощрение муниципальной управленческой команды Омской области за достижение Омской областью в 2021 году значений (уровней) показателей для оценки эффективности деятельности высших должностных лиц субъектов Российской Федерации </w:t>
      </w:r>
      <w:r>
        <w:rPr>
          <w:rFonts w:ascii="Times New Roman" w:hAnsi="Times New Roman"/>
          <w:sz w:val="24"/>
          <w:szCs w:val="24"/>
        </w:rPr>
        <w:lastRenderedPageBreak/>
        <w:t>и деятельности органов исполнительной власти субъектов Российской Федерации, указанных в пункте 10 Правил распределения в 2022 году между субъектами Российской Федерации дотаций (грантов) в форме межбюджетных трансфертов на основе достигнутых ими за отчетный период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Федерации, утвержденных постановлением Правительства Российской Федерации от 9 июня 2022 года №1050.</w:t>
      </w:r>
    </w:p>
    <w:bookmarkEnd w:id="2"/>
    <w:p w:rsidR="00BE6C92" w:rsidRDefault="00BE6C92" w:rsidP="00BE6C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№ 7. Объем финансовых ресурсов, необходимых для реализации подпрограммы в целом и по источникам финансирования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финансирования подпрограммы за счет всех источников финансирования  составляет  56 450 143,97 рубля, в том числе: 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5 688 882,65 рубля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5 625 343,01 рубля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6 740 761,30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7 128 568,54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8 134 756,35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7 074 408,76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7 001 986,76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4 527 718,30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4 527 718,30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Общие расходы муниципального бюджета на реализацию подпрограммы составят 46 949 749,66 рублей, в том числе по годам: 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4 848 843,67 рубля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4 914 424,90 рубля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5 841 855,47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6 256 230,00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6 229 635,52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5 283 473,52 рубля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5 283 473,52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4 145 906,53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4 145 906,53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Прогнозируемый объем финансирования из областного бюджета – 9 500 394,31 рубля, в том числе по годам: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840 038,98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710 918,11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898 905,83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872 338,54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1 905 120,83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1 790 935,24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1 718 513,24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381 811,77 рублей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381 811,77 рублей</w:t>
      </w:r>
    </w:p>
    <w:p w:rsidR="00BE6C92" w:rsidRDefault="00BE6C92" w:rsidP="00BE6C9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Привлечение средств федерального, областного бюджетов и внебюджетных средств предполагается в соответствии с действующим законодательством.</w:t>
      </w:r>
    </w:p>
    <w:p w:rsidR="00BE6C92" w:rsidRDefault="00BE6C92" w:rsidP="00BE6C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ведения о размере и направлениях расходования средств, направленных на финансовое обеспечение подпрограммы, и необходимых для ее реализации, приведены в приложении к муниципальной подпрограмме "Структура муниципальной программы Муромцевского муниципального района Омской области "Развитие экономического потенциала Муромцевского муниципального района Омской области".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№ 8. Ожидаемые результаты реализации подпрограммы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 xml:space="preserve">Количественное и качественное улучшение ситуации в сфере реализации подпрограммы по годам характеризуют следующие ожидаемые </w:t>
      </w:r>
      <w:r>
        <w:rPr>
          <w:rFonts w:ascii="Times New Roman" w:hAnsi="Times New Roman"/>
          <w:sz w:val="24"/>
          <w:szCs w:val="24"/>
        </w:rPr>
        <w:t>результаты реализации подпрограммы: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индекс производства продукции сельского хозяйства в хозяйствах всех категорий (в сопоставимых ценах) к предыдущему году (единица измерения  %). 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показателя определяется по данным Территориального органа Федеральной службы государственной статистики по Омской области.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Прогнозируемое значение показателя составит по годам: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100,5%;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– 100,6%;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– 100,7%;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– 100,7%;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2026 год – 100,7%;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2027 год – 100,8%;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2028 год – 100,8%,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2029 год – 100,9%,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2030 год – 100,9%,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индекс физического объема инвестиций в основной капитал сельского хозяйства (к предыдущему году) (единица измерения  %). 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показателя определяется по данным Территориального органа Федеральной службы государственной статистики по Омской области.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Прогнозируемое значение показателя к уровню предыдущего года: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101,0%;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– 101,1%;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– 101,2%;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– 101,3%;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2026 год – 101,4%;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2027 год – 101,5%;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2028 год – 101,6%,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2029 год – 101,7%,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2030 год – 101,8%, 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рентабельность СХО (с учетом субсидий) (единица измерения  %). 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показателя определяется по данным Территориального органа Федеральной службы государственной статистики по Омской области.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Прогнозируемое значение показателя по годам: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2022 год – 9,1%;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– 9,2%;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– 9,2%;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– 9,2%;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2026 год – 9,3%;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2027 год – 9,3%;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2028 год – 9,3%,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2029 год – 9,4%,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2030 год – 9,4%, 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среднемесячная номинальная заработная плата работников, занятых в сфере сельского хозяйства (единица измерения – рублей). 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показателя определяется по данным Территориального органа Федеральной службы государственной статистики по Омской области.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Прогнозируемое значение показателя составит по годам: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15384,0 руб.;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– 15384,0 руб.;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– 15480,0 руб.;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– 15580,0 руб.;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2026 год – 15680,0 руб.;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2027 год – 15780,0 руб.;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2028 год – 15880,0 руб.,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2029 год – 15980,0 руб.,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16000,0 руб.,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количество созданных новых рабочих мест на селе (единица измерения – мест).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показателя определяется по данным органов местного самоуправления муниципальных районов Омской области, мониторинга Министерства.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Прогнозируемое значение показателя за период реализации составит </w:t>
      </w:r>
      <w:r>
        <w:rPr>
          <w:rFonts w:ascii="Times New Roman" w:hAnsi="Times New Roman"/>
          <w:sz w:val="24"/>
          <w:szCs w:val="24"/>
        </w:rPr>
        <w:br/>
        <w:t>44 места, в том числе: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4 места;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– 4 места;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– 5 мест;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– 5 мест;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2026 год – 5 мест;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2027 год – 6 мест;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2028 год – 6 мест,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2029 год – 6 мест, </w:t>
      </w: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2030 год – 6 мест. 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№ 9. Описание системы управления реализацией подпрограммы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реализацию под</w:t>
      </w:r>
      <w:r>
        <w:rPr>
          <w:rFonts w:ascii="Times New Roman" w:hAnsi="Times New Roman"/>
          <w:bCs/>
          <w:sz w:val="24"/>
          <w:szCs w:val="24"/>
        </w:rPr>
        <w:t>программы</w:t>
      </w:r>
      <w:r>
        <w:rPr>
          <w:rFonts w:ascii="Times New Roman" w:hAnsi="Times New Roman"/>
          <w:sz w:val="24"/>
          <w:szCs w:val="24"/>
        </w:rPr>
        <w:t xml:space="preserve">, основных мероприятий и мероприятий, а также за достижение ожидаемых результатов и целевых индикаторов несет ответственность ответственный исполнитель – Управление. </w:t>
      </w:r>
    </w:p>
    <w:p w:rsidR="00BE6C92" w:rsidRDefault="00BE6C92" w:rsidP="00B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итогам отчетного года Управление  формирует отчет о реализации подпрограммы за отчетный финансовый год и в целом за истекший период ее реализации.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Ежегодно не позднее 1 мая года, следующего за отчетным, исполнители подпрограммы составляют отчеты о ходе реализации подпрограммы и направляют их в Комитет экономики и управления муниципальной собственностью Администрации </w:t>
      </w:r>
      <w:r>
        <w:rPr>
          <w:rFonts w:ascii="Times New Roman" w:hAnsi="Times New Roman"/>
          <w:sz w:val="24"/>
          <w:szCs w:val="24"/>
        </w:rPr>
        <w:lastRenderedPageBreak/>
        <w:t>Муромцевского муниципального района Омской области для проведения ежегодной оценки эффективности реализации подпрограммы.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подпрограммой предполагает возможность ее корректировки.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области.</w:t>
      </w:r>
    </w:p>
    <w:p w:rsidR="00BE6C92" w:rsidRDefault="00BE6C92" w:rsidP="00BE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перечня мероприятий, целевых индикаторов,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области.</w:t>
      </w:r>
    </w:p>
    <w:p w:rsidR="00CD19DB" w:rsidRDefault="00CD19DB"/>
    <w:sectPr w:rsidR="00CD1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C92"/>
    <w:rsid w:val="00BE6C92"/>
    <w:rsid w:val="00CD19DB"/>
    <w:rsid w:val="00EB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C9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6C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C9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6C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3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3E82941695DD8BF560E4A9317986014&amp;req=doc&amp;base=LAW&amp;n=355997&amp;dst=119719&amp;fld=134&amp;REFFIELD=134&amp;REFDST=105836&amp;REFDOC=132861&amp;REFBASE=RLAW037&amp;stat=refcode%3D16876%3Bdstident%3D119719%3Bindex%3D127&amp;date=06.08.202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74373B83F7D2939E1652B7DA948127DE54CAB8EE23A2663310D67F61BE0D89D281A57DD0BD059E1pF7C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74373B83F7D2939E1652B7DA948127DE54CAB8EE23A2663310D67F61BE0D89D281A57DD0BD059E1pF7CI" TargetMode="External"/><Relationship Id="rId5" Type="http://schemas.openxmlformats.org/officeDocument/2006/relationships/hyperlink" Target="consultantplus://offline/ref=274373B83F7D2939E1652B7DA948127DE54DA388E93E2663310D67F61BpE70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3743</Words>
  <Characters>21339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3</cp:revision>
  <dcterms:created xsi:type="dcterms:W3CDTF">2025-11-07T07:43:00Z</dcterms:created>
  <dcterms:modified xsi:type="dcterms:W3CDTF">2025-11-07T07:45:00Z</dcterms:modified>
</cp:coreProperties>
</file>